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国标楷体" w:hAnsi="国标楷体" w:eastAsia="国标楷体" w:cs="国标楷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国标楷体" w:hAnsi="国标楷体" w:eastAsia="国标楷体" w:cs="国标楷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2025年基层科普行动计划资金分配方案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黑体" w:hAnsi="国标黑体" w:eastAsia="国标黑体" w:cs="国标黑体"/>
          <w:snapToGrid w:val="0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3"/>
        <w:tblW w:w="9364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365"/>
        <w:gridCol w:w="1050"/>
        <w:gridCol w:w="1680"/>
        <w:gridCol w:w="138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93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类    别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奖补个数</w:t>
            </w:r>
          </w:p>
        </w:tc>
        <w:tc>
          <w:tcPr>
            <w:tcW w:w="4384" w:type="dxa"/>
            <w:gridSpan w:val="3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93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单个金额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分  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65" w:type="dxa"/>
            <w:vMerge w:val="restar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科普教育基地、基层农技协等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一  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65" w:type="dxa"/>
            <w:vMerge w:val="continue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二  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65" w:type="dxa"/>
            <w:vMerge w:val="restar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b/>
                <w:bCs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开展社区科普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工作的示范社区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一  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shd w:val="clear" w:color="auto" w:fill="FFFFFF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二  类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2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93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科技小院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shd w:val="clear" w:color="auto" w:fill="FFFFFF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93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落地流动科技馆</w:t>
            </w:r>
          </w:p>
        </w:tc>
        <w:tc>
          <w:tcPr>
            <w:tcW w:w="105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shd w:val="clear" w:color="auto" w:fill="FFFFFF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930" w:type="dxa"/>
            <w:gridSpan w:val="2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农村中学科技馆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930" w:type="dxa"/>
            <w:gridSpan w:val="2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384" w:type="dxa"/>
            <w:gridSpan w:val="3"/>
            <w:noWrap w:val="0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kern w:val="0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kern w:val="0"/>
          <w:sz w:val="32"/>
          <w:szCs w:val="32"/>
          <w:vertAlign w:val="baseline"/>
          <w:lang w:val="en-US" w:eastAsia="zh-CN"/>
        </w:rPr>
        <w:t>科普教育基地和基层农技协等的二类5个资金项目、科技小院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kern w:val="0"/>
          <w:sz w:val="32"/>
          <w:szCs w:val="32"/>
          <w:lang w:val="en-US" w:eastAsia="zh-CN"/>
        </w:rPr>
        <w:t>的2个资金项目及农村中学科技馆的1个资金项目为省级资金项目；其余均为国家级资金项目。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40" w:firstLineChars="1600"/>
        <w:jc w:val="left"/>
        <w:textAlignment w:val="baseline"/>
        <w:rPr>
          <w:rFonts w:hint="eastAsia" w:ascii="CESI仿宋-GB2312" w:hAnsi="CESI仿宋-GB2312" w:eastAsia="CESI仿宋-GB2312" w:cs="CESI仿宋-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773D"/>
    <w:rsid w:val="5B5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2025-02-11T02:09:00Z</dcterms:created>
  <dc:creator>杨志娟520</dc:creator>
  <cp:lastModifiedBy>杨志娟520</cp:lastModifiedBy>
  <dcterms:modified xsi:type="dcterms:W3CDTF">2025-02-11T02:09:35Z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